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2014/484 vom 31. Juli 2015</w:t>
      </w:r>
    </w:p>
    <w:p>
      <w:r>
        <w:t>Sg Versicherungsgericht, 2015-07-31, DE</w:t>
      </w:r>
    </w:p>
    <w:p>
      <w:r>
        <w:rPr>
          <w:b/>
        </w:rPr>
        <w:t xml:space="preserve">Quelle: </w:t>
      </w:r>
      <w:r>
        <w:t>https://mcp.opencaselaw.ch/entscheid/sg_publikationen_IV 2014_484</w:t>
      </w:r>
    </w:p>
    <w:p>
      <w:r>
        <w:t>FR: SG_VERSICHERUNGSGERICHT IV 2014/484 du 31 juillet 2015</w:t>
      </w:r>
    </w:p>
    <w:p>
      <w:r>
        <w:t>IT: SG_VERSICHERUNGSGERICHT IV 2014/484 del 31 luglio 2015</w:t>
      </w:r>
    </w:p>
    <w:p>
      <w:pPr>
        <w:pStyle w:val="Heading2"/>
      </w:pPr>
      <w:r>
        <w:t>Regeste</w:t>
      </w:r>
    </w:p>
    <w:p>
      <w:r>
        <w:t>Art. 28 IVG. Rentenbeginn. Wartejahr. Festlegung des Beginns der relevanten psychiatrisch bedingten Arbeitsunfähigkeit anhand sämtlicher medizinischer Berichte. Erfüllung des Wartejahres aufgrund vorgängiger somatisch bedingter Beeinträchtigungen der Arbeitsfähigkeit (Entscheid des Versicherungsgerichts des Kantons St. Gallen vom 31. Juli 2015, IV 2014/484). Bestätigt durch Urteil des Bundesgerichts 9C_659/2015.</w:t>
      </w:r>
    </w:p>
    <w:p>
      <w:pPr>
        <w:pStyle w:val="Heading2"/>
      </w:pPr>
      <w:r>
        <w:t>Erwägungen</w:t>
      </w:r>
    </w:p>
    <w:p>
      <w:r>
        <w:rPr>
          <w:b/>
        </w:rPr>
        <w:t>E. 2</w:t>
      </w:r>
    </w:p>
    <w:p>
      <w:r>
        <w:t>Die Beschwerdegegnerin hat die Gerichtskosten von Fr. 600.-- und die Kosten für die Abklärungen von Fr. 878.10, total also Fr. 1'478.10, zu bezahlen; der Beschwerdeführerin wird der von ihr geleistete Kostenvorschuss von Fr. 600.-- zurückerstattet.</w:t>
      </w:r>
    </w:p>
    <w:p>
      <w:r>
        <w:rPr>
          <w:b/>
        </w:rPr>
        <w:t>E. 3</w:t>
      </w:r>
    </w:p>
    <w:p>
      <w:r>
        <w:t>Die Beschwerdegegnerin hat der Beschwerdeführerin eine Parteientschädigung von Fr. 5’000.--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